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5B5A" w14:textId="6B884D48" w:rsidR="007E77CD" w:rsidRDefault="00C113A9" w:rsidP="006D058F">
      <w:pPr>
        <w:jc w:val="center"/>
        <w:rPr>
          <w:rFonts w:ascii="Arial" w:hAnsi="Arial" w:cs="Arial"/>
          <w:b/>
          <w:bCs/>
          <w:w w:val="95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w w:val="95"/>
          <w:sz w:val="48"/>
          <w:szCs w:val="48"/>
        </w:rPr>
        <w:t>Pali</w:t>
      </w:r>
      <w:proofErr w:type="spellEnd"/>
      <w:r>
        <w:rPr>
          <w:rFonts w:ascii="Arial" w:hAnsi="Arial" w:cs="Arial"/>
          <w:b/>
          <w:bCs/>
          <w:w w:val="95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bCs/>
          <w:w w:val="95"/>
          <w:sz w:val="48"/>
          <w:szCs w:val="48"/>
        </w:rPr>
        <w:t>Momi</w:t>
      </w:r>
      <w:proofErr w:type="spellEnd"/>
      <w:r>
        <w:rPr>
          <w:rFonts w:ascii="Arial" w:hAnsi="Arial" w:cs="Arial"/>
          <w:b/>
          <w:bCs/>
          <w:w w:val="95"/>
          <w:sz w:val="48"/>
          <w:szCs w:val="48"/>
        </w:rPr>
        <w:t xml:space="preserve"> Grand Rounds</w:t>
      </w:r>
    </w:p>
    <w:p w14:paraId="5A9D9C76" w14:textId="593DD628" w:rsidR="00C113A9" w:rsidRPr="007E77CD" w:rsidRDefault="00A201CA" w:rsidP="006D058F">
      <w:pPr>
        <w:jc w:val="center"/>
        <w:rPr>
          <w:rFonts w:ascii="Arial" w:hAnsi="Arial" w:cs="Arial"/>
          <w:b/>
          <w:bCs/>
          <w:w w:val="95"/>
          <w:sz w:val="48"/>
          <w:szCs w:val="48"/>
        </w:rPr>
      </w:pPr>
      <w:r>
        <w:rPr>
          <w:rFonts w:ascii="Arial" w:hAnsi="Arial" w:cs="Arial"/>
          <w:b/>
          <w:bCs/>
          <w:w w:val="95"/>
          <w:sz w:val="48"/>
          <w:szCs w:val="48"/>
        </w:rPr>
        <w:t xml:space="preserve">Hyperbaric Oxygen Applications: Compromised Grafts </w:t>
      </w:r>
      <w:proofErr w:type="gramStart"/>
      <w:r>
        <w:rPr>
          <w:rFonts w:ascii="Arial" w:hAnsi="Arial" w:cs="Arial"/>
          <w:b/>
          <w:bCs/>
          <w:w w:val="95"/>
          <w:sz w:val="48"/>
          <w:szCs w:val="48"/>
        </w:rPr>
        <w:t>And</w:t>
      </w:r>
      <w:proofErr w:type="gramEnd"/>
      <w:r>
        <w:rPr>
          <w:rFonts w:ascii="Arial" w:hAnsi="Arial" w:cs="Arial"/>
          <w:b/>
          <w:bCs/>
          <w:w w:val="95"/>
          <w:sz w:val="48"/>
          <w:szCs w:val="48"/>
        </w:rPr>
        <w:t xml:space="preserve"> Flaps</w:t>
      </w:r>
    </w:p>
    <w:p w14:paraId="078890B2" w14:textId="774DF5F0" w:rsidR="007E77CD" w:rsidRPr="00A92C87" w:rsidRDefault="00C113A9" w:rsidP="00A92C8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Monday, </w:t>
      </w:r>
      <w:r w:rsidR="00A201CA">
        <w:rPr>
          <w:rFonts w:ascii="Arial" w:hAnsi="Arial" w:cs="Arial"/>
          <w:b/>
          <w:bCs/>
          <w:sz w:val="36"/>
          <w:szCs w:val="36"/>
        </w:rPr>
        <w:t>July 29</w:t>
      </w:r>
      <w:r w:rsidR="007E77CD" w:rsidRPr="00EC2292">
        <w:rPr>
          <w:rFonts w:ascii="Arial" w:hAnsi="Arial" w:cs="Arial"/>
          <w:b/>
          <w:bCs/>
          <w:sz w:val="36"/>
          <w:szCs w:val="36"/>
        </w:rPr>
        <w:t>, 2019</w:t>
      </w:r>
    </w:p>
    <w:p w14:paraId="1D23C007" w14:textId="77777777" w:rsidR="007E77CD" w:rsidRDefault="007E77CD" w:rsidP="007E77C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C2292">
        <w:rPr>
          <w:rFonts w:ascii="Arial" w:hAnsi="Arial" w:cs="Arial"/>
          <w:b/>
          <w:bCs/>
          <w:sz w:val="36"/>
          <w:szCs w:val="36"/>
        </w:rPr>
        <w:t>12:30–1:30 pm</w:t>
      </w:r>
    </w:p>
    <w:p w14:paraId="21348139" w14:textId="77777777" w:rsidR="00B43796" w:rsidRPr="00EC2292" w:rsidRDefault="00B43796" w:rsidP="007E77C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53FC489" w14:textId="133EE82D" w:rsidR="00C113A9" w:rsidRPr="00324DEF" w:rsidRDefault="007E77CD" w:rsidP="00C113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2"/>
          <w:szCs w:val="12"/>
        </w:rPr>
        <w:t> </w:t>
      </w:r>
      <w:r w:rsidR="00C113A9" w:rsidRPr="00324DEF">
        <w:rPr>
          <w:rFonts w:ascii="Arial" w:hAnsi="Arial" w:cs="Arial"/>
          <w:b/>
          <w:bCs/>
          <w:sz w:val="28"/>
          <w:szCs w:val="28"/>
        </w:rPr>
        <w:t>Speaker:</w:t>
      </w:r>
    </w:p>
    <w:p w14:paraId="3A63A006" w14:textId="7D288E6D" w:rsidR="00C113A9" w:rsidRPr="00324DEF" w:rsidRDefault="00DC203E" w:rsidP="00C113A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Richard C. Baynosa, MD, FACS</w:t>
      </w:r>
      <w:bookmarkStart w:id="0" w:name="_GoBack"/>
      <w:bookmarkEnd w:id="0"/>
    </w:p>
    <w:p w14:paraId="1AFEE15F" w14:textId="410DDC56" w:rsidR="00C113A9" w:rsidRPr="00C113A9" w:rsidRDefault="00DC203E" w:rsidP="00C113A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Department of Plastic Surgery</w:t>
      </w:r>
      <w:r w:rsidRPr="00DC20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Chairman</w:t>
      </w:r>
    </w:p>
    <w:p w14:paraId="6E5D1FD2" w14:textId="04CA2584" w:rsidR="00B148FA" w:rsidRPr="003A42AD" w:rsidRDefault="00DC203E" w:rsidP="00C113A9">
      <w:pPr>
        <w:widowControl w:val="0"/>
        <w:jc w:val="center"/>
        <w:rPr>
          <w:rFonts w:ascii="Arial" w:hAnsi="Arial" w:cs="Arial"/>
          <w:bCs/>
        </w:rPr>
      </w:pPr>
      <w:r w:rsidRPr="003A42AD">
        <w:rPr>
          <w:rFonts w:ascii="Arial" w:hAnsi="Arial" w:cs="Arial"/>
          <w:bCs/>
        </w:rPr>
        <w:t>UNLV School of Medicine</w:t>
      </w:r>
    </w:p>
    <w:p w14:paraId="5A3C008A" w14:textId="77777777" w:rsidR="007E77CD" w:rsidRDefault="007E77CD" w:rsidP="00EC2292">
      <w:pPr>
        <w:widowControl w:val="0"/>
        <w:rPr>
          <w:rFonts w:ascii="Arial" w:hAnsi="Arial" w:cs="Arial"/>
          <w:color w:val="7D0063"/>
          <w:sz w:val="28"/>
          <w:szCs w:val="28"/>
        </w:rPr>
      </w:pPr>
    </w:p>
    <w:p w14:paraId="625A375D" w14:textId="5E2624B4" w:rsidR="007E77CD" w:rsidRPr="00F13CB3" w:rsidRDefault="007E77CD" w:rsidP="007E77CD">
      <w:pPr>
        <w:widowControl w:val="0"/>
        <w:rPr>
          <w:rFonts w:cstheme="minorHAnsi"/>
          <w:b/>
          <w:bCs/>
          <w:color w:val="000000"/>
          <w:sz w:val="21"/>
          <w:szCs w:val="21"/>
        </w:rPr>
      </w:pPr>
      <w:r w:rsidRPr="00F13CB3">
        <w:rPr>
          <w:rFonts w:cstheme="minorHAnsi"/>
          <w:b/>
          <w:bCs/>
          <w:sz w:val="21"/>
          <w:szCs w:val="21"/>
        </w:rPr>
        <w:t>Target Audience:</w:t>
      </w:r>
      <w:r w:rsidR="00EC2292" w:rsidRPr="00F13CB3">
        <w:rPr>
          <w:rFonts w:cstheme="minorHAnsi"/>
          <w:b/>
          <w:bCs/>
          <w:sz w:val="21"/>
          <w:szCs w:val="21"/>
        </w:rPr>
        <w:t xml:space="preserve">  </w:t>
      </w:r>
      <w:r w:rsidRPr="00C113A9">
        <w:rPr>
          <w:rFonts w:cstheme="minorHAnsi"/>
          <w:bCs/>
          <w:sz w:val="21"/>
          <w:szCs w:val="21"/>
        </w:rPr>
        <w:t>Physicians/Nurses/Pharmacists</w:t>
      </w:r>
      <w:r w:rsidRPr="00F13CB3">
        <w:rPr>
          <w:rFonts w:cstheme="minorHAnsi"/>
          <w:b/>
          <w:bCs/>
          <w:sz w:val="21"/>
          <w:szCs w:val="21"/>
        </w:rPr>
        <w:t xml:space="preserve"> </w:t>
      </w:r>
    </w:p>
    <w:p w14:paraId="3A0AD230" w14:textId="77777777" w:rsidR="007E77CD" w:rsidRPr="00F13CB3" w:rsidRDefault="007E77CD" w:rsidP="007E77CD">
      <w:pPr>
        <w:spacing w:line="283" w:lineRule="auto"/>
        <w:rPr>
          <w:rFonts w:cstheme="minorHAnsi"/>
          <w:sz w:val="21"/>
          <w:szCs w:val="21"/>
        </w:rPr>
      </w:pPr>
      <w:r w:rsidRPr="00F13CB3">
        <w:rPr>
          <w:rFonts w:cstheme="minorHAnsi"/>
          <w:sz w:val="21"/>
          <w:szCs w:val="21"/>
        </w:rPr>
        <w:t xml:space="preserve">This offering is intended for HPH employees and credentialed HPH providers. </w:t>
      </w:r>
    </w:p>
    <w:p w14:paraId="4C2E53DA" w14:textId="77777777" w:rsidR="007E77CD" w:rsidRPr="00F13CB3" w:rsidRDefault="007E77CD" w:rsidP="007E77CD">
      <w:pPr>
        <w:spacing w:line="283" w:lineRule="auto"/>
        <w:rPr>
          <w:rFonts w:cstheme="minorHAnsi"/>
          <w:b/>
          <w:bCs/>
          <w:sz w:val="21"/>
          <w:szCs w:val="21"/>
        </w:rPr>
      </w:pPr>
      <w:r w:rsidRPr="00F13CB3">
        <w:rPr>
          <w:rFonts w:cstheme="minorHAnsi"/>
          <w:b/>
          <w:bCs/>
          <w:sz w:val="21"/>
          <w:szCs w:val="21"/>
        </w:rPr>
        <w:t> </w:t>
      </w:r>
    </w:p>
    <w:p w14:paraId="6CE782A6" w14:textId="5BD9ACA5" w:rsidR="007E77CD" w:rsidRPr="00F13CB3" w:rsidRDefault="00EC2292" w:rsidP="00EC2292">
      <w:pPr>
        <w:widowControl w:val="0"/>
        <w:spacing w:line="283" w:lineRule="auto"/>
        <w:rPr>
          <w:rFonts w:cstheme="minorHAnsi"/>
          <w:sz w:val="21"/>
          <w:szCs w:val="21"/>
        </w:rPr>
      </w:pPr>
      <w:r w:rsidRPr="00F13CB3">
        <w:rPr>
          <w:rFonts w:cstheme="minorHAnsi"/>
          <w:b/>
          <w:bCs/>
          <w:sz w:val="21"/>
          <w:szCs w:val="21"/>
        </w:rPr>
        <w:t xml:space="preserve">Disclosure:  </w:t>
      </w:r>
      <w:r w:rsidR="006D058F" w:rsidRPr="00F13CB3">
        <w:rPr>
          <w:rFonts w:cstheme="minorHAnsi"/>
          <w:sz w:val="21"/>
          <w:szCs w:val="21"/>
        </w:rPr>
        <w:t xml:space="preserve">I </w:t>
      </w:r>
      <w:r w:rsidR="007E77CD" w:rsidRPr="00F13CB3">
        <w:rPr>
          <w:rFonts w:cstheme="minorHAnsi"/>
          <w:sz w:val="21"/>
          <w:szCs w:val="21"/>
        </w:rPr>
        <w:t>and/or my spouse/partner have no financial relationships or affiliations to disclose.</w:t>
      </w:r>
    </w:p>
    <w:p w14:paraId="088C1484" w14:textId="77777777" w:rsidR="007E77CD" w:rsidRPr="00F13CB3" w:rsidRDefault="007E77CD" w:rsidP="00EC2292">
      <w:pPr>
        <w:spacing w:line="283" w:lineRule="auto"/>
        <w:rPr>
          <w:rFonts w:cstheme="minorHAnsi"/>
          <w:b/>
          <w:bCs/>
          <w:w w:val="95"/>
          <w:sz w:val="21"/>
          <w:szCs w:val="21"/>
        </w:rPr>
      </w:pPr>
      <w:r w:rsidRPr="00F13CB3">
        <w:rPr>
          <w:rFonts w:cstheme="minorHAnsi"/>
          <w:b/>
          <w:bCs/>
          <w:w w:val="95"/>
          <w:sz w:val="21"/>
          <w:szCs w:val="21"/>
        </w:rPr>
        <w:t> </w:t>
      </w:r>
    </w:p>
    <w:p w14:paraId="00FBC953" w14:textId="77777777" w:rsidR="007E77CD" w:rsidRPr="00F13CB3" w:rsidRDefault="007E77CD" w:rsidP="00EC2292">
      <w:pPr>
        <w:widowControl w:val="0"/>
        <w:spacing w:line="283" w:lineRule="auto"/>
        <w:jc w:val="both"/>
        <w:rPr>
          <w:rFonts w:cstheme="minorHAnsi"/>
          <w:sz w:val="21"/>
          <w:szCs w:val="21"/>
        </w:rPr>
      </w:pPr>
      <w:r w:rsidRPr="00F13CB3">
        <w:rPr>
          <w:rFonts w:cstheme="minorHAnsi"/>
          <w:b/>
          <w:bCs/>
          <w:sz w:val="21"/>
          <w:szCs w:val="21"/>
        </w:rPr>
        <w:t xml:space="preserve">Learning Objectives:   </w:t>
      </w:r>
      <w:r w:rsidRPr="00F13CB3">
        <w:rPr>
          <w:rFonts w:cstheme="minorHAnsi"/>
          <w:sz w:val="21"/>
          <w:szCs w:val="21"/>
        </w:rPr>
        <w:t>At the conclusion participants should be able to</w:t>
      </w:r>
      <w:r w:rsidRPr="00F13CB3">
        <w:rPr>
          <w:rFonts w:cstheme="minorHAnsi"/>
          <w:w w:val="99"/>
          <w:sz w:val="21"/>
          <w:szCs w:val="21"/>
        </w:rPr>
        <w:t>:</w:t>
      </w:r>
    </w:p>
    <w:p w14:paraId="4EF05CEC" w14:textId="77777777" w:rsidR="00DC203E" w:rsidRPr="00DC203E" w:rsidRDefault="00DC203E" w:rsidP="00DC203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C203E">
        <w:rPr>
          <w:rFonts w:ascii="Arial" w:hAnsi="Arial" w:cs="Arial"/>
          <w:sz w:val="21"/>
          <w:szCs w:val="21"/>
        </w:rPr>
        <w:t>Describe the difference between grafts and flaps and the potential causes of compromise.</w:t>
      </w:r>
    </w:p>
    <w:p w14:paraId="7629B2B5" w14:textId="77777777" w:rsidR="00DC203E" w:rsidRPr="00DC203E" w:rsidRDefault="00DC203E" w:rsidP="00DC203E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C203E">
        <w:rPr>
          <w:rFonts w:ascii="Arial" w:hAnsi="Arial" w:cs="Arial"/>
          <w:sz w:val="21"/>
          <w:szCs w:val="21"/>
        </w:rPr>
        <w:t>Describe the mechanisms by which early treatment of compromised grafts or flaps with hyperbaric oxygen therapy can help mitigate ischemia and maximize the chances of salvage.</w:t>
      </w:r>
    </w:p>
    <w:p w14:paraId="2A2B3259" w14:textId="67DBA376" w:rsidR="007E77CD" w:rsidRPr="00F13CB3" w:rsidRDefault="007E77CD" w:rsidP="007E77CD">
      <w:pPr>
        <w:widowControl w:val="0"/>
        <w:spacing w:line="283" w:lineRule="auto"/>
        <w:ind w:left="360"/>
        <w:rPr>
          <w:rFonts w:ascii="Arial" w:hAnsi="Arial" w:cs="Arial"/>
          <w:sz w:val="21"/>
          <w:szCs w:val="21"/>
        </w:rPr>
      </w:pPr>
      <w:r w:rsidRPr="00F13CB3">
        <w:rPr>
          <w:rFonts w:ascii="Arial" w:hAnsi="Arial" w:cs="Arial"/>
          <w:sz w:val="21"/>
          <w:szCs w:val="21"/>
        </w:rPr>
        <w:t> </w:t>
      </w:r>
    </w:p>
    <w:p w14:paraId="5637378E" w14:textId="018A8443" w:rsidR="007E77CD" w:rsidRPr="00F13CB3" w:rsidRDefault="00EC2292" w:rsidP="007E77CD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F13CB3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79232" behindDoc="0" locked="0" layoutInCell="1" allowOverlap="1" wp14:anchorId="6DF91F2E" wp14:editId="3B981628">
            <wp:simplePos x="0" y="0"/>
            <wp:positionH relativeFrom="column">
              <wp:posOffset>-53340</wp:posOffset>
            </wp:positionH>
            <wp:positionV relativeFrom="paragraph">
              <wp:posOffset>203997</wp:posOffset>
            </wp:positionV>
            <wp:extent cx="911225" cy="578485"/>
            <wp:effectExtent l="0" t="0" r="3175" b="0"/>
            <wp:wrapNone/>
            <wp:docPr id="3" name="Picture 2" descr="http://www.jointaccreditation.org/sites/default/files/Jointly%20Accredited%20Provider%20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intaccreditation.org/sites/default/files/Jointly%20Accredited%20Provider%20T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7CD" w:rsidRPr="00F13CB3">
        <w:rPr>
          <w:rFonts w:ascii="Arial" w:hAnsi="Arial" w:cs="Arial"/>
          <w:b/>
          <w:bCs/>
          <w:sz w:val="21"/>
          <w:szCs w:val="21"/>
        </w:rPr>
        <w:t>Continuing Education</w:t>
      </w:r>
    </w:p>
    <w:p w14:paraId="323FA0C8" w14:textId="3164C29B" w:rsidR="007E77CD" w:rsidRPr="00F13CB3" w:rsidRDefault="007E77CD" w:rsidP="006D058F">
      <w:pPr>
        <w:widowControl w:val="0"/>
        <w:ind w:left="1440"/>
        <w:rPr>
          <w:rFonts w:ascii="Arial" w:hAnsi="Arial" w:cs="Arial"/>
          <w:sz w:val="21"/>
          <w:szCs w:val="21"/>
        </w:rPr>
      </w:pPr>
      <w:r w:rsidRPr="00F13CB3">
        <w:rPr>
          <w:rFonts w:ascii="Arial" w:hAnsi="Arial" w:cs="Arial"/>
          <w:sz w:val="21"/>
          <w:szCs w:val="21"/>
        </w:rPr>
        <w:t xml:space="preserve">In support of improving patient care, Hawai‘i Pacific Health is jointly accredited by the </w:t>
      </w:r>
      <w:r w:rsidR="006D058F" w:rsidRPr="00F13CB3">
        <w:rPr>
          <w:rFonts w:ascii="Arial" w:hAnsi="Arial" w:cs="Arial"/>
          <w:sz w:val="21"/>
          <w:szCs w:val="21"/>
        </w:rPr>
        <w:t xml:space="preserve">   </w:t>
      </w:r>
      <w:r w:rsidRPr="00F13CB3">
        <w:rPr>
          <w:rFonts w:ascii="Arial" w:hAnsi="Arial" w:cs="Arial"/>
          <w:sz w:val="21"/>
          <w:szCs w:val="21"/>
        </w:rPr>
        <w:t>Accreditation Council for Continuing Medical Education (ACCME), the Accreditation Council for Pharmacy Education (ACPE), and the American Nurses Credentialing Center (ANCC), to provide continuing education for the healthcare team.</w:t>
      </w:r>
    </w:p>
    <w:p w14:paraId="4E07F425" w14:textId="7BAD7EC4" w:rsidR="007E77CD" w:rsidRPr="00F13CB3" w:rsidRDefault="007E77CD" w:rsidP="007E77CD">
      <w:pPr>
        <w:widowControl w:val="0"/>
        <w:rPr>
          <w:rFonts w:ascii="Arial" w:hAnsi="Arial" w:cs="Arial"/>
          <w:b/>
          <w:bCs/>
          <w:sz w:val="21"/>
          <w:szCs w:val="21"/>
        </w:rPr>
      </w:pPr>
      <w:r w:rsidRPr="00F13CB3">
        <w:rPr>
          <w:rFonts w:ascii="Arial" w:hAnsi="Arial" w:cs="Arial"/>
          <w:b/>
          <w:bCs/>
          <w:sz w:val="21"/>
          <w:szCs w:val="21"/>
        </w:rPr>
        <w:t> </w:t>
      </w:r>
    </w:p>
    <w:p w14:paraId="222E00F7" w14:textId="166D08E9" w:rsidR="007E77CD" w:rsidRPr="00F13CB3" w:rsidRDefault="007E77CD" w:rsidP="007E77CD">
      <w:pPr>
        <w:widowControl w:val="0"/>
        <w:rPr>
          <w:rFonts w:ascii="Arial" w:hAnsi="Arial" w:cs="Arial"/>
          <w:b/>
          <w:bCs/>
          <w:sz w:val="21"/>
          <w:szCs w:val="21"/>
        </w:rPr>
      </w:pPr>
      <w:r w:rsidRPr="00F13CB3">
        <w:rPr>
          <w:rFonts w:ascii="Arial" w:hAnsi="Arial" w:cs="Arial"/>
          <w:b/>
          <w:bCs/>
          <w:sz w:val="21"/>
          <w:szCs w:val="21"/>
        </w:rPr>
        <w:t>For Physicians we are offering CME</w:t>
      </w:r>
    </w:p>
    <w:p w14:paraId="59E7CF2F" w14:textId="298CA835" w:rsidR="007E77CD" w:rsidRPr="00F13CB3" w:rsidRDefault="007E77CD" w:rsidP="007E77CD">
      <w:pPr>
        <w:widowControl w:val="0"/>
        <w:rPr>
          <w:rFonts w:ascii="Arial" w:hAnsi="Arial" w:cs="Arial"/>
          <w:sz w:val="21"/>
          <w:szCs w:val="21"/>
        </w:rPr>
      </w:pPr>
      <w:r w:rsidRPr="00F13CB3">
        <w:rPr>
          <w:rFonts w:ascii="Arial" w:hAnsi="Arial" w:cs="Arial"/>
          <w:sz w:val="21"/>
          <w:szCs w:val="21"/>
        </w:rPr>
        <w:t xml:space="preserve">Hawai‘i Pacific Health designates this live activity for a maximum of 1.0 </w:t>
      </w:r>
      <w:r w:rsidRPr="00F13CB3">
        <w:rPr>
          <w:rFonts w:ascii="Arial" w:hAnsi="Arial" w:cs="Arial"/>
          <w:i/>
          <w:iCs/>
          <w:sz w:val="21"/>
          <w:szCs w:val="21"/>
        </w:rPr>
        <w:t xml:space="preserve">AMA PRA Category 1 Credit (s) </w:t>
      </w:r>
      <w:r w:rsidRPr="00F13CB3">
        <w:rPr>
          <w:rFonts w:ascii="Arial" w:hAnsi="Arial" w:cs="Arial"/>
          <w:sz w:val="21"/>
          <w:szCs w:val="21"/>
          <w:vertAlign w:val="superscript"/>
        </w:rPr>
        <w:t>TM</w:t>
      </w:r>
      <w:r w:rsidRPr="00F13CB3">
        <w:rPr>
          <w:rFonts w:ascii="Arial" w:hAnsi="Arial" w:cs="Arial"/>
          <w:i/>
          <w:iCs/>
          <w:sz w:val="21"/>
          <w:szCs w:val="21"/>
        </w:rPr>
        <w:t xml:space="preserve">.  </w:t>
      </w:r>
      <w:r w:rsidRPr="00F13CB3">
        <w:rPr>
          <w:rFonts w:ascii="Arial" w:hAnsi="Arial" w:cs="Arial"/>
          <w:sz w:val="21"/>
          <w:szCs w:val="21"/>
        </w:rPr>
        <w:t xml:space="preserve">Physicians should claim only the credit commensurate with the extent of their participation in the activity. </w:t>
      </w:r>
    </w:p>
    <w:p w14:paraId="2D04148B" w14:textId="6767CD34" w:rsidR="007E77CD" w:rsidRPr="00F13CB3" w:rsidRDefault="007E77CD" w:rsidP="007E77CD">
      <w:pPr>
        <w:widowControl w:val="0"/>
        <w:rPr>
          <w:rFonts w:ascii="Arial" w:hAnsi="Arial" w:cs="Arial"/>
          <w:sz w:val="21"/>
          <w:szCs w:val="21"/>
        </w:rPr>
      </w:pPr>
      <w:r w:rsidRPr="00F13CB3">
        <w:rPr>
          <w:rFonts w:ascii="Arial" w:hAnsi="Arial" w:cs="Arial"/>
          <w:sz w:val="21"/>
          <w:szCs w:val="21"/>
        </w:rPr>
        <w:t> </w:t>
      </w:r>
    </w:p>
    <w:p w14:paraId="1094E381" w14:textId="116E20B3" w:rsidR="007E77CD" w:rsidRPr="00F13CB3" w:rsidRDefault="007E77CD" w:rsidP="007E77CD">
      <w:pPr>
        <w:widowControl w:val="0"/>
        <w:rPr>
          <w:rFonts w:ascii="Arial" w:hAnsi="Arial" w:cs="Arial"/>
          <w:b/>
          <w:bCs/>
          <w:sz w:val="21"/>
          <w:szCs w:val="21"/>
        </w:rPr>
      </w:pPr>
      <w:r w:rsidRPr="00F13CB3">
        <w:rPr>
          <w:rFonts w:ascii="Arial" w:hAnsi="Arial" w:cs="Arial"/>
          <w:b/>
          <w:bCs/>
          <w:sz w:val="21"/>
          <w:szCs w:val="21"/>
        </w:rPr>
        <w:t>For Nurses we are offering ANCC Contact Hours</w:t>
      </w:r>
    </w:p>
    <w:p w14:paraId="3AE87885" w14:textId="432F8388" w:rsidR="007E77CD" w:rsidRPr="00F13CB3" w:rsidRDefault="007E77CD" w:rsidP="007E77CD">
      <w:pPr>
        <w:rPr>
          <w:rFonts w:ascii="Arial" w:hAnsi="Arial" w:cs="Arial"/>
          <w:sz w:val="21"/>
          <w:szCs w:val="21"/>
        </w:rPr>
      </w:pPr>
      <w:r w:rsidRPr="00F13CB3">
        <w:rPr>
          <w:rFonts w:ascii="Arial" w:hAnsi="Arial" w:cs="Arial"/>
          <w:sz w:val="21"/>
          <w:szCs w:val="21"/>
        </w:rPr>
        <w:t>Hawai‘i Pacific Health designates this live activity for 1.0 contact hour for nurses.  Nurses should only claim credit commensurate with the extent of their participation in the activity.</w:t>
      </w:r>
    </w:p>
    <w:p w14:paraId="03646A0D" w14:textId="0811231F" w:rsidR="007E77CD" w:rsidRPr="00F13CB3" w:rsidRDefault="007E77CD" w:rsidP="007E77CD">
      <w:pPr>
        <w:rPr>
          <w:rFonts w:ascii="Arial" w:hAnsi="Arial" w:cs="Arial"/>
          <w:sz w:val="21"/>
          <w:szCs w:val="21"/>
        </w:rPr>
      </w:pPr>
      <w:r w:rsidRPr="00F13CB3">
        <w:rPr>
          <w:rFonts w:ascii="Arial" w:hAnsi="Arial" w:cs="Arial"/>
          <w:sz w:val="21"/>
          <w:szCs w:val="21"/>
        </w:rPr>
        <w:t> </w:t>
      </w:r>
    </w:p>
    <w:p w14:paraId="3E451F22" w14:textId="663B64ED" w:rsidR="007E77CD" w:rsidRPr="00F13CB3" w:rsidRDefault="007E77CD" w:rsidP="007E77CD">
      <w:pPr>
        <w:rPr>
          <w:rFonts w:ascii="Arial" w:hAnsi="Arial" w:cs="Arial"/>
          <w:b/>
          <w:bCs/>
          <w:sz w:val="21"/>
          <w:szCs w:val="21"/>
        </w:rPr>
      </w:pPr>
      <w:r w:rsidRPr="00F13CB3">
        <w:rPr>
          <w:rFonts w:ascii="Arial" w:hAnsi="Arial" w:cs="Arial"/>
          <w:b/>
          <w:bCs/>
          <w:sz w:val="21"/>
          <w:szCs w:val="21"/>
        </w:rPr>
        <w:t xml:space="preserve">For Pharmacists we are offering Continuing </w:t>
      </w:r>
    </w:p>
    <w:p w14:paraId="2934A180" w14:textId="2BBE2225" w:rsidR="009E31C1" w:rsidRPr="00EC2292" w:rsidRDefault="007E77CD" w:rsidP="009E31C1">
      <w:pPr>
        <w:rPr>
          <w:sz w:val="20"/>
          <w:szCs w:val="20"/>
        </w:rPr>
      </w:pPr>
      <w:r w:rsidRPr="00F13CB3">
        <w:rPr>
          <w:rFonts w:ascii="Arial" w:hAnsi="Arial" w:cs="Arial"/>
          <w:sz w:val="21"/>
          <w:szCs w:val="21"/>
          <w:lang w:eastAsia="ja-JP"/>
        </w:rPr>
        <w:t>Hawai‘i Pacific Health is accredited by the Accreditation Council for Pharmacy Education (ACPE) as a provider of continuing pharmacy education.  This activity is assigned Universal Activity Number (UAN</w:t>
      </w:r>
      <w:r w:rsidRPr="00EC2292">
        <w:rPr>
          <w:rFonts w:ascii="Arial" w:hAnsi="Arial" w:cs="Arial"/>
          <w:sz w:val="20"/>
          <w:szCs w:val="20"/>
          <w:lang w:eastAsia="ja-JP"/>
        </w:rPr>
        <w:t xml:space="preserve">) </w:t>
      </w:r>
      <w:r w:rsidR="00083ECF" w:rsidRPr="00083ECF">
        <w:rPr>
          <w:rFonts w:ascii="Arial" w:hAnsi="Arial" w:cs="Arial"/>
          <w:sz w:val="20"/>
          <w:szCs w:val="20"/>
          <w:lang w:eastAsia="ja-JP"/>
        </w:rPr>
        <w:t>JA4006398-0000-19-</w:t>
      </w:r>
      <w:r w:rsidR="00C113A9">
        <w:rPr>
          <w:rFonts w:ascii="Arial" w:hAnsi="Arial" w:cs="Arial"/>
          <w:sz w:val="20"/>
          <w:szCs w:val="20"/>
          <w:lang w:eastAsia="ja-JP"/>
        </w:rPr>
        <w:t>004</w:t>
      </w:r>
      <w:r w:rsidRPr="00083ECF">
        <w:rPr>
          <w:rFonts w:ascii="Arial" w:hAnsi="Arial" w:cs="Arial"/>
          <w:sz w:val="20"/>
          <w:szCs w:val="20"/>
          <w:lang w:eastAsia="ja-JP"/>
        </w:rPr>
        <w:t>-L04-P</w:t>
      </w:r>
      <w:r w:rsidR="00083ECF" w:rsidRPr="00083ECF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083ECF">
        <w:rPr>
          <w:rFonts w:ascii="Arial" w:hAnsi="Arial" w:cs="Arial"/>
          <w:sz w:val="20"/>
          <w:szCs w:val="20"/>
          <w:lang w:eastAsia="ja-JP"/>
        </w:rPr>
        <w:t>is accredited for 1 contact hour for attendance at the entire CE session.</w:t>
      </w:r>
    </w:p>
    <w:sectPr w:rsidR="009E31C1" w:rsidRPr="00EC2292" w:rsidSect="006D058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188B" w14:textId="77777777" w:rsidR="00D07A72" w:rsidRDefault="00D07A72" w:rsidP="00F02C17">
      <w:r>
        <w:separator/>
      </w:r>
    </w:p>
  </w:endnote>
  <w:endnote w:type="continuationSeparator" w:id="0">
    <w:p w14:paraId="5FD5F3D7" w14:textId="77777777" w:rsidR="00D07A72" w:rsidRDefault="00D07A72" w:rsidP="00F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otham Medium">
    <w:altName w:val="Source Sans Pro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F35E" w14:textId="243879C6" w:rsidR="00A76CC4" w:rsidRPr="00085548" w:rsidRDefault="00A76CC4" w:rsidP="00CC1FF9">
    <w:pPr>
      <w:pStyle w:val="Footer"/>
      <w:tabs>
        <w:tab w:val="clear" w:pos="4320"/>
        <w:tab w:val="clear" w:pos="8640"/>
      </w:tabs>
      <w:ind w:left="-720"/>
      <w:rPr>
        <w:color w:val="808080" w:themeColor="background1" w:themeShade="80"/>
        <w:sz w:val="20"/>
        <w:szCs w:val="20"/>
      </w:rPr>
    </w:pPr>
    <w:r w:rsidRPr="00085548">
      <w:rPr>
        <w:rStyle w:val="PageNumber"/>
        <w:color w:val="808080" w:themeColor="background1" w:themeShade="80"/>
        <w:sz w:val="20"/>
        <w:szCs w:val="20"/>
      </w:rPr>
      <w:t xml:space="preserve">Page </w: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begin"/>
    </w:r>
    <w:r w:rsidRPr="00085548">
      <w:rPr>
        <w:rStyle w:val="PageNumber"/>
        <w:color w:val="808080" w:themeColor="background1" w:themeShade="80"/>
        <w:sz w:val="20"/>
        <w:szCs w:val="20"/>
      </w:rPr>
      <w:instrText xml:space="preserve"> PAGE </w:instrTex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separate"/>
    </w:r>
    <w:r w:rsidR="00DC203E">
      <w:rPr>
        <w:rStyle w:val="PageNumber"/>
        <w:noProof/>
        <w:color w:val="808080" w:themeColor="background1" w:themeShade="80"/>
        <w:sz w:val="20"/>
        <w:szCs w:val="20"/>
      </w:rPr>
      <w:t>2</w: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0B21" w14:textId="7DD11F14" w:rsidR="00071E5A" w:rsidRDefault="00071E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237AD" wp14:editId="34107024">
              <wp:simplePos x="0" y="0"/>
              <wp:positionH relativeFrom="column">
                <wp:posOffset>-639061</wp:posOffset>
              </wp:positionH>
              <wp:positionV relativeFrom="paragraph">
                <wp:posOffset>-139065</wp:posOffset>
              </wp:positionV>
              <wp:extent cx="7772400" cy="981075"/>
              <wp:effectExtent l="57150" t="19050" r="57150" b="857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81075"/>
                      </a:xfrm>
                      <a:prstGeom prst="rect">
                        <a:avLst/>
                      </a:prstGeom>
                      <a:solidFill>
                        <a:srgbClr val="0190B8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A281AB" id="Rectangle 4" o:spid="_x0000_s1026" style="position:absolute;margin-left:-50.3pt;margin-top:-10.95pt;width:612pt;height:7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" fillcolor="#0190b8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BA0EA" w14:textId="77777777" w:rsidR="00D07A72" w:rsidRDefault="00D07A72" w:rsidP="00F02C17">
      <w:r>
        <w:separator/>
      </w:r>
    </w:p>
  </w:footnote>
  <w:footnote w:type="continuationSeparator" w:id="0">
    <w:p w14:paraId="4C946225" w14:textId="77777777" w:rsidR="00D07A72" w:rsidRDefault="00D07A72" w:rsidP="00F0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A3AD" w14:textId="682CF3BC" w:rsidR="00A76CC4" w:rsidRDefault="00A76CC4" w:rsidP="00F02C17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B7B9" w14:textId="16F38344" w:rsidR="00A76CC4" w:rsidRDefault="00D51407" w:rsidP="00F62C2F">
    <w:pPr>
      <w:pStyle w:val="Header"/>
      <w:tabs>
        <w:tab w:val="clear" w:pos="4320"/>
        <w:tab w:val="clear" w:pos="8640"/>
      </w:tabs>
    </w:pPr>
    <w:r w:rsidRPr="00F62C2F">
      <w:rPr>
        <w:rFonts w:ascii="Gotham Medium" w:hAnsi="Gotham Medium"/>
        <w:noProof/>
        <w:color w:val="77777B"/>
      </w:rPr>
      <w:drawing>
        <wp:anchor distT="0" distB="0" distL="114300" distR="114300" simplePos="0" relativeHeight="251659264" behindDoc="0" locked="0" layoutInCell="1" allowOverlap="1" wp14:anchorId="0FD3C408" wp14:editId="600594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3605" cy="1028700"/>
          <wp:effectExtent l="0" t="0" r="0" b="0"/>
          <wp:wrapThrough wrapText="bothSides">
            <wp:wrapPolygon edited="0">
              <wp:start x="10791" y="0"/>
              <wp:lineTo x="0" y="400"/>
              <wp:lineTo x="0" y="16000"/>
              <wp:lineTo x="10791" y="19200"/>
              <wp:lineTo x="0" y="19200"/>
              <wp:lineTo x="0" y="21200"/>
              <wp:lineTo x="21392" y="21200"/>
              <wp:lineTo x="21392" y="19200"/>
              <wp:lineTo x="10791" y="19200"/>
              <wp:lineTo x="18741" y="15600"/>
              <wp:lineTo x="18741" y="12800"/>
              <wp:lineTo x="16659" y="12800"/>
              <wp:lineTo x="21013" y="9600"/>
              <wp:lineTo x="21392" y="3200"/>
              <wp:lineTo x="21392" y="400"/>
              <wp:lineTo x="11548" y="0"/>
              <wp:lineTo x="107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C90ECD" w14:textId="77777777" w:rsidR="00A76CC4" w:rsidRDefault="00A76CC4" w:rsidP="00085548">
    <w:pPr>
      <w:pStyle w:val="Header"/>
      <w:tabs>
        <w:tab w:val="clear" w:pos="4320"/>
        <w:tab w:val="clear" w:pos="8640"/>
      </w:tabs>
    </w:pPr>
  </w:p>
  <w:p w14:paraId="0D4972BE" w14:textId="507236E7" w:rsidR="00A76CC4" w:rsidRPr="005E5FA0" w:rsidRDefault="004A4ABA" w:rsidP="001C52ED">
    <w:pPr>
      <w:pStyle w:val="Header"/>
      <w:tabs>
        <w:tab w:val="clear" w:pos="4320"/>
        <w:tab w:val="clear" w:pos="8640"/>
      </w:tabs>
      <w:jc w:val="right"/>
      <w:rPr>
        <w:sz w:val="30"/>
        <w:szCs w:val="30"/>
      </w:rPr>
    </w:pPr>
    <w:r w:rsidRPr="005E5FA0">
      <w:rPr>
        <w:rFonts w:ascii="Gotham Medium" w:hAnsi="Gotham Medium"/>
        <w:noProof/>
        <w:color w:val="77777B"/>
        <w:spacing w:val="10"/>
        <w:sz w:val="30"/>
        <w:szCs w:val="30"/>
      </w:rPr>
      <w:t>hawaiipacifichealth.org</w:t>
    </w:r>
  </w:p>
  <w:p w14:paraId="55C39334" w14:textId="77777777" w:rsidR="00A76CC4" w:rsidRDefault="00A76CC4" w:rsidP="00085548">
    <w:pPr>
      <w:pStyle w:val="Header"/>
      <w:tabs>
        <w:tab w:val="clear" w:pos="4320"/>
        <w:tab w:val="clear" w:pos="8640"/>
      </w:tabs>
    </w:pPr>
  </w:p>
  <w:p w14:paraId="1C7EA660" w14:textId="1DE82B8B" w:rsidR="00A76CC4" w:rsidRDefault="00A76CC4" w:rsidP="00085548">
    <w:pPr>
      <w:pStyle w:val="Header"/>
      <w:tabs>
        <w:tab w:val="clear" w:pos="4320"/>
        <w:tab w:val="clear" w:pos="8640"/>
      </w:tabs>
    </w:pPr>
  </w:p>
  <w:p w14:paraId="4B1C9A49" w14:textId="77777777" w:rsidR="00A76CC4" w:rsidRPr="00085548" w:rsidRDefault="00A76CC4" w:rsidP="00085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043"/>
    <w:multiLevelType w:val="hybridMultilevel"/>
    <w:tmpl w:val="045EDFD8"/>
    <w:lvl w:ilvl="0" w:tplc="4FA84F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24A"/>
    <w:multiLevelType w:val="hybridMultilevel"/>
    <w:tmpl w:val="3AC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7"/>
    <w:rsid w:val="00071E5A"/>
    <w:rsid w:val="00083ECF"/>
    <w:rsid w:val="00085548"/>
    <w:rsid w:val="000A3E6F"/>
    <w:rsid w:val="000D50EB"/>
    <w:rsid w:val="000E139D"/>
    <w:rsid w:val="001C52ED"/>
    <w:rsid w:val="00296CDA"/>
    <w:rsid w:val="002E0EDE"/>
    <w:rsid w:val="00373F93"/>
    <w:rsid w:val="00393B27"/>
    <w:rsid w:val="003A42AD"/>
    <w:rsid w:val="004435C4"/>
    <w:rsid w:val="00452CDF"/>
    <w:rsid w:val="00496C7D"/>
    <w:rsid w:val="004A4ABA"/>
    <w:rsid w:val="004A7145"/>
    <w:rsid w:val="00503989"/>
    <w:rsid w:val="005A1C3F"/>
    <w:rsid w:val="005E5FA0"/>
    <w:rsid w:val="006D058F"/>
    <w:rsid w:val="007E77CD"/>
    <w:rsid w:val="008611AE"/>
    <w:rsid w:val="008A7B14"/>
    <w:rsid w:val="008F7F8A"/>
    <w:rsid w:val="009756DE"/>
    <w:rsid w:val="009E31C1"/>
    <w:rsid w:val="00A201CA"/>
    <w:rsid w:val="00A47715"/>
    <w:rsid w:val="00A76CC4"/>
    <w:rsid w:val="00A92C87"/>
    <w:rsid w:val="00B148FA"/>
    <w:rsid w:val="00B43796"/>
    <w:rsid w:val="00C113A9"/>
    <w:rsid w:val="00C716DA"/>
    <w:rsid w:val="00CC1FF9"/>
    <w:rsid w:val="00D07A72"/>
    <w:rsid w:val="00D51407"/>
    <w:rsid w:val="00D90B61"/>
    <w:rsid w:val="00DC203E"/>
    <w:rsid w:val="00E32E54"/>
    <w:rsid w:val="00E94D7F"/>
    <w:rsid w:val="00EA4F88"/>
    <w:rsid w:val="00EC2292"/>
    <w:rsid w:val="00F01D25"/>
    <w:rsid w:val="00F02C17"/>
    <w:rsid w:val="00F046CB"/>
    <w:rsid w:val="00F04E95"/>
    <w:rsid w:val="00F13CB3"/>
    <w:rsid w:val="00F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D85082"/>
  <w14:defaultImageDpi w14:val="300"/>
  <w15:docId w15:val="{98B04249-AE74-442C-9BF7-86E0ED2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25"/>
  </w:style>
  <w:style w:type="paragraph" w:styleId="Heading1">
    <w:name w:val="heading 1"/>
    <w:basedOn w:val="Normal"/>
    <w:next w:val="Normal"/>
    <w:link w:val="Heading1Char"/>
    <w:qFormat/>
    <w:rsid w:val="009E31C1"/>
    <w:pPr>
      <w:keepNext/>
      <w:jc w:val="center"/>
      <w:outlineLvl w:val="0"/>
    </w:pPr>
    <w:rPr>
      <w:rFonts w:ascii="Arial" w:eastAsia="Times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2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2C17"/>
  </w:style>
  <w:style w:type="paragraph" w:styleId="Footer">
    <w:name w:val="footer"/>
    <w:basedOn w:val="Normal"/>
    <w:link w:val="FooterChar"/>
    <w:uiPriority w:val="99"/>
    <w:unhideWhenUsed/>
    <w:rsid w:val="00F02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17"/>
  </w:style>
  <w:style w:type="paragraph" w:styleId="BalloonText">
    <w:name w:val="Balloon Text"/>
    <w:basedOn w:val="Normal"/>
    <w:link w:val="BalloonTextChar"/>
    <w:uiPriority w:val="99"/>
    <w:semiHidden/>
    <w:unhideWhenUsed/>
    <w:rsid w:val="00F02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5548"/>
  </w:style>
  <w:style w:type="character" w:customStyle="1" w:styleId="Heading1Char">
    <w:name w:val="Heading 1 Char"/>
    <w:basedOn w:val="DefaultParagraphFont"/>
    <w:link w:val="Heading1"/>
    <w:rsid w:val="009E31C1"/>
    <w:rPr>
      <w:rFonts w:ascii="Arial" w:eastAsia="Times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D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hph-arial-theme">
  <a:themeElements>
    <a:clrScheme name="HPH 1">
      <a:dk1>
        <a:srgbClr val="78787B"/>
      </a:dk1>
      <a:lt1>
        <a:sysClr val="window" lastClr="FFFFFF"/>
      </a:lt1>
      <a:dk2>
        <a:srgbClr val="404040"/>
      </a:dk2>
      <a:lt2>
        <a:srgbClr val="F4F2EC"/>
      </a:lt2>
      <a:accent1>
        <a:srgbClr val="0091BA"/>
      </a:accent1>
      <a:accent2>
        <a:srgbClr val="F58220"/>
      </a:accent2>
      <a:accent3>
        <a:srgbClr val="62A945"/>
      </a:accent3>
      <a:accent4>
        <a:srgbClr val="862065"/>
      </a:accent4>
      <a:accent5>
        <a:srgbClr val="0071B9"/>
      </a:accent5>
      <a:accent6>
        <a:srgbClr val="78787B"/>
      </a:accent6>
      <a:hlink>
        <a:srgbClr val="0091BA"/>
      </a:hlink>
      <a:folHlink>
        <a:srgbClr val="7878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AF780A3C04C43B900C003AEB84588" ma:contentTypeVersion="1" ma:contentTypeDescription="Create a new document." ma:contentTypeScope="" ma:versionID="167a14ed4ef985c0a089e8d6c493d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D1BE5-25EA-4377-BFEB-D2127C47F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43EAE-1521-4134-9184-E35C45CC69D0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A46CE3-3E41-429D-8CE2-77DA23183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96D87-AA9D-4135-9864-36A6FE4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Anthology Marketing Group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Lum</dc:creator>
  <cp:keywords/>
  <dc:description/>
  <cp:lastModifiedBy>Tovio, Joan</cp:lastModifiedBy>
  <cp:revision>11</cp:revision>
  <cp:lastPrinted>2019-04-01T18:49:00Z</cp:lastPrinted>
  <dcterms:created xsi:type="dcterms:W3CDTF">2019-04-01T22:05:00Z</dcterms:created>
  <dcterms:modified xsi:type="dcterms:W3CDTF">2019-06-14T19:17:00Z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0x010100162AF780A3C04C43B900C003AEB84588</vt:lpwstr>
  </property>
</Properties>
</file>