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408BB6" w14:textId="77777777" w:rsidR="009E31C1" w:rsidRPr="00453759" w:rsidRDefault="009E31C1" w:rsidP="009A16AB">
      <w:pPr>
        <w:rPr>
          <w:rFonts w:ascii="Calibri" w:hAnsi="Calibri"/>
        </w:rPr>
      </w:pPr>
    </w:p>
    <w:p w14:paraId="16264198" w14:textId="3C655B20" w:rsidR="009E31C1" w:rsidRPr="00453759" w:rsidRDefault="000E19C4" w:rsidP="000E19C4">
      <w:pPr>
        <w:jc w:val="center"/>
        <w:rPr>
          <w:rFonts w:ascii="Calibri" w:hAnsi="Calibri"/>
        </w:rPr>
      </w:pPr>
      <w:r w:rsidRPr="000E19C4">
        <w:rPr>
          <w:rFonts w:ascii="Calibri" w:hAnsi="Calibri"/>
          <w:b/>
          <w:sz w:val="48"/>
          <w:szCs w:val="48"/>
        </w:rPr>
        <w:t>Practice Optimization Lecture Series 2017-Primary Care Redesign</w:t>
      </w:r>
    </w:p>
    <w:p w14:paraId="54AF3152" w14:textId="52A5E875" w:rsidR="009E31C1" w:rsidRPr="00453759" w:rsidRDefault="000E19C4" w:rsidP="009E31C1">
      <w:pPr>
        <w:jc w:val="center"/>
        <w:rPr>
          <w:rFonts w:ascii="Calibri" w:hAnsi="Calibri"/>
          <w:sz w:val="32"/>
        </w:rPr>
      </w:pPr>
      <w:r>
        <w:rPr>
          <w:rFonts w:ascii="Calibri" w:hAnsi="Calibri"/>
          <w:sz w:val="32"/>
        </w:rPr>
        <w:t>December 11</w:t>
      </w:r>
      <w:r w:rsidR="009A16AB" w:rsidRPr="00453759">
        <w:rPr>
          <w:rFonts w:ascii="Calibri" w:hAnsi="Calibri"/>
          <w:sz w:val="32"/>
        </w:rPr>
        <w:t>, 2017</w:t>
      </w:r>
    </w:p>
    <w:p w14:paraId="6003ED1B" w14:textId="0E47F806" w:rsidR="009E31C1" w:rsidRDefault="009A16AB" w:rsidP="009E31C1">
      <w:pPr>
        <w:jc w:val="center"/>
        <w:rPr>
          <w:rFonts w:ascii="Calibri" w:hAnsi="Calibri"/>
          <w:sz w:val="32"/>
        </w:rPr>
      </w:pPr>
      <w:r w:rsidRPr="00453759">
        <w:rPr>
          <w:rFonts w:ascii="Calibri" w:hAnsi="Calibri"/>
          <w:sz w:val="32"/>
        </w:rPr>
        <w:t>1230-1330</w:t>
      </w:r>
    </w:p>
    <w:p w14:paraId="0DD9910A" w14:textId="6711A664" w:rsidR="00247F4A" w:rsidRPr="00453759" w:rsidRDefault="000E19C4" w:rsidP="009E31C1">
      <w:pPr>
        <w:jc w:val="center"/>
        <w:rPr>
          <w:rFonts w:ascii="Calibri" w:hAnsi="Calibri"/>
          <w:sz w:val="32"/>
        </w:rPr>
      </w:pPr>
      <w:r>
        <w:rPr>
          <w:rFonts w:ascii="Calibri" w:hAnsi="Calibri"/>
          <w:sz w:val="32"/>
        </w:rPr>
        <w:t xml:space="preserve">Gerard </w:t>
      </w:r>
      <w:proofErr w:type="spellStart"/>
      <w:r w:rsidRPr="000E19C4">
        <w:rPr>
          <w:rFonts w:ascii="Calibri" w:hAnsi="Calibri"/>
          <w:sz w:val="32"/>
        </w:rPr>
        <w:t>Livaudais</w:t>
      </w:r>
      <w:proofErr w:type="spellEnd"/>
      <w:r>
        <w:rPr>
          <w:rFonts w:ascii="Calibri" w:hAnsi="Calibri"/>
          <w:sz w:val="32"/>
        </w:rPr>
        <w:t>, MD &amp; Cathy Nelson, RN</w:t>
      </w:r>
      <w:bookmarkStart w:id="0" w:name="_GoBack"/>
      <w:bookmarkEnd w:id="0"/>
    </w:p>
    <w:p w14:paraId="0FC4E76D" w14:textId="77777777" w:rsidR="009E31C1" w:rsidRPr="00453759" w:rsidRDefault="009E31C1" w:rsidP="009E31C1">
      <w:pPr>
        <w:jc w:val="center"/>
        <w:rPr>
          <w:rFonts w:ascii="Calibri" w:hAnsi="Calibri"/>
          <w:sz w:val="32"/>
        </w:rPr>
      </w:pPr>
    </w:p>
    <w:p w14:paraId="39FBE039" w14:textId="77777777" w:rsidR="00247F4A" w:rsidRDefault="009A16AB" w:rsidP="009E31C1">
      <w:pPr>
        <w:jc w:val="center"/>
        <w:rPr>
          <w:rFonts w:ascii="Calibri" w:hAnsi="Calibri"/>
          <w:sz w:val="32"/>
        </w:rPr>
      </w:pPr>
      <w:proofErr w:type="spellStart"/>
      <w:r w:rsidRPr="00453759">
        <w:rPr>
          <w:rFonts w:ascii="Calibri" w:hAnsi="Calibri"/>
          <w:sz w:val="32"/>
        </w:rPr>
        <w:t>Pali</w:t>
      </w:r>
      <w:proofErr w:type="spellEnd"/>
      <w:r w:rsidRPr="00453759">
        <w:rPr>
          <w:rFonts w:ascii="Calibri" w:hAnsi="Calibri"/>
          <w:sz w:val="32"/>
        </w:rPr>
        <w:t xml:space="preserve"> </w:t>
      </w:r>
      <w:proofErr w:type="spellStart"/>
      <w:r w:rsidRPr="00453759">
        <w:rPr>
          <w:rFonts w:ascii="Calibri" w:hAnsi="Calibri"/>
          <w:sz w:val="32"/>
        </w:rPr>
        <w:t>Momi</w:t>
      </w:r>
      <w:proofErr w:type="spellEnd"/>
      <w:r w:rsidRPr="00453759">
        <w:rPr>
          <w:rFonts w:ascii="Calibri" w:hAnsi="Calibri"/>
          <w:sz w:val="32"/>
        </w:rPr>
        <w:t xml:space="preserve"> Medical Center </w:t>
      </w:r>
    </w:p>
    <w:p w14:paraId="0FEEFD38" w14:textId="5634DCE4" w:rsidR="009E31C1" w:rsidRPr="00453759" w:rsidRDefault="007146FF" w:rsidP="009E31C1">
      <w:pPr>
        <w:jc w:val="center"/>
        <w:rPr>
          <w:rFonts w:ascii="Calibri" w:hAnsi="Calibri"/>
          <w:sz w:val="32"/>
        </w:rPr>
      </w:pPr>
      <w:r>
        <w:rPr>
          <w:rFonts w:ascii="Calibri" w:hAnsi="Calibri"/>
          <w:sz w:val="32"/>
        </w:rPr>
        <w:t xml:space="preserve">PM </w:t>
      </w:r>
      <w:r w:rsidR="009A16AB" w:rsidRPr="00453759">
        <w:rPr>
          <w:rFonts w:ascii="Calibri" w:hAnsi="Calibri"/>
          <w:sz w:val="32"/>
        </w:rPr>
        <w:t>Conference Room</w:t>
      </w:r>
    </w:p>
    <w:p w14:paraId="5E74FECB" w14:textId="495A901E" w:rsidR="009E31C1" w:rsidRPr="00453759" w:rsidRDefault="009A16AB" w:rsidP="009E31C1">
      <w:pPr>
        <w:jc w:val="center"/>
        <w:rPr>
          <w:rFonts w:ascii="Calibri" w:hAnsi="Calibri"/>
          <w:sz w:val="32"/>
        </w:rPr>
      </w:pPr>
      <w:r w:rsidRPr="00453759">
        <w:rPr>
          <w:rFonts w:ascii="Calibri" w:hAnsi="Calibri"/>
          <w:sz w:val="32"/>
        </w:rPr>
        <w:t>Aiea, HI</w:t>
      </w:r>
    </w:p>
    <w:p w14:paraId="495FAD74" w14:textId="77777777" w:rsidR="009E31C1" w:rsidRPr="00453759" w:rsidRDefault="009E31C1" w:rsidP="009E31C1">
      <w:pPr>
        <w:jc w:val="center"/>
        <w:rPr>
          <w:rFonts w:ascii="Calibri" w:hAnsi="Calibri"/>
        </w:rPr>
      </w:pPr>
    </w:p>
    <w:p w14:paraId="768E10B5" w14:textId="77777777" w:rsidR="009E31C1" w:rsidRPr="00453759" w:rsidRDefault="009E31C1" w:rsidP="009E31C1">
      <w:pPr>
        <w:jc w:val="center"/>
        <w:rPr>
          <w:rFonts w:ascii="Calibri" w:hAnsi="Calibri"/>
        </w:rPr>
      </w:pPr>
    </w:p>
    <w:p w14:paraId="7E366208" w14:textId="77777777" w:rsidR="009A16AB" w:rsidRDefault="009A16AB" w:rsidP="00085548"/>
    <w:p w14:paraId="076C49B1" w14:textId="6A8D3444" w:rsidR="009A16AB" w:rsidRPr="009A16AB" w:rsidRDefault="009A16AB" w:rsidP="009A16AB">
      <w:pPr>
        <w:rPr>
          <w:rFonts w:ascii="Calibri" w:hAnsi="Calibri"/>
          <w:sz w:val="22"/>
          <w:szCs w:val="22"/>
        </w:rPr>
      </w:pPr>
      <w:r w:rsidRPr="009A16AB">
        <w:rPr>
          <w:noProof/>
        </w:rPr>
        <w:drawing>
          <wp:inline distT="0" distB="0" distL="0" distR="0" wp14:anchorId="461AF4E9" wp14:editId="6FD964C7">
            <wp:extent cx="1381165" cy="755650"/>
            <wp:effectExtent l="0" t="0" r="9525" b="6350"/>
            <wp:docPr id="7" name="Picture 6" descr="http://www.jointaccreditation.org/sites/default/files/Jointly%20Accredited%20Provider%20TM.jpg"/>
            <wp:cNvGraphicFramePr/>
            <a:graphic xmlns:a="http://schemas.openxmlformats.org/drawingml/2006/main">
              <a:graphicData uri="http://schemas.openxmlformats.org/drawingml/2006/picture">
                <pic:pic xmlns:pic="http://schemas.openxmlformats.org/drawingml/2006/picture">
                  <pic:nvPicPr>
                    <pic:cNvPr id="7" name="Picture 6" descr="http://www.jointaccreditation.org/sites/default/files/Jointly%20Accredited%20Provider%20TM.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2486" cy="756373"/>
                    </a:xfrm>
                    <a:prstGeom prst="rect">
                      <a:avLst/>
                    </a:prstGeom>
                    <a:noFill/>
                  </pic:spPr>
                </pic:pic>
              </a:graphicData>
            </a:graphic>
          </wp:inline>
        </w:drawing>
      </w:r>
      <w:r w:rsidRPr="009A16AB">
        <w:rPr>
          <w:rFonts w:ascii="Calibri" w:hAnsi="Calibri"/>
          <w:sz w:val="22"/>
          <w:szCs w:val="22"/>
        </w:rPr>
        <w:t>In support of improving patient care, Hawai‘i Pacific Health is jointly accredited by the Accreditation Council for Continuing Medical Education (ACCME), the Accreditation Council for Pharmacy Education (ACPE), and the American Nurses Credentialing Center (ANCC), to provide continuing education for the healthcare team.</w:t>
      </w:r>
    </w:p>
    <w:p w14:paraId="02E716BD" w14:textId="77777777" w:rsidR="009A16AB" w:rsidRPr="009A16AB" w:rsidRDefault="009A16AB" w:rsidP="009A16AB">
      <w:pPr>
        <w:rPr>
          <w:rFonts w:ascii="Calibri" w:hAnsi="Calibri"/>
          <w:sz w:val="22"/>
          <w:szCs w:val="22"/>
        </w:rPr>
      </w:pPr>
    </w:p>
    <w:p w14:paraId="0B25BF1B" w14:textId="77777777" w:rsidR="009A16AB" w:rsidRPr="009A16AB" w:rsidRDefault="009A16AB" w:rsidP="009A16AB">
      <w:pPr>
        <w:rPr>
          <w:rFonts w:ascii="Calibri" w:hAnsi="Calibri"/>
          <w:sz w:val="22"/>
          <w:szCs w:val="22"/>
        </w:rPr>
      </w:pPr>
      <w:r w:rsidRPr="009A16AB">
        <w:rPr>
          <w:rFonts w:ascii="Calibri" w:hAnsi="Calibri"/>
          <w:b/>
          <w:bCs/>
          <w:iCs/>
          <w:sz w:val="22"/>
          <w:szCs w:val="22"/>
        </w:rPr>
        <w:t>For Nurses we are offering CNE</w:t>
      </w:r>
    </w:p>
    <w:p w14:paraId="422125BB" w14:textId="77777777" w:rsidR="009A16AB" w:rsidRPr="009A16AB" w:rsidRDefault="009A16AB" w:rsidP="009A16AB">
      <w:pPr>
        <w:rPr>
          <w:rFonts w:ascii="Calibri" w:hAnsi="Calibri"/>
          <w:sz w:val="22"/>
          <w:szCs w:val="22"/>
        </w:rPr>
      </w:pPr>
      <w:r w:rsidRPr="009A16AB">
        <w:rPr>
          <w:rFonts w:ascii="Calibri" w:hAnsi="Calibri"/>
          <w:iCs/>
          <w:sz w:val="22"/>
          <w:szCs w:val="22"/>
        </w:rPr>
        <w:t>Hawai‘i Pacific Health designates this live activity for 1.0 contact hours for nurses.  Nurses should only claim credit commensurate with the extent of their participation in the activity.</w:t>
      </w:r>
    </w:p>
    <w:p w14:paraId="0CB1563F" w14:textId="77777777" w:rsidR="009A16AB" w:rsidRPr="009A16AB" w:rsidRDefault="009A16AB" w:rsidP="009A16AB">
      <w:pPr>
        <w:rPr>
          <w:rFonts w:ascii="Calibri" w:hAnsi="Calibri"/>
          <w:sz w:val="22"/>
          <w:szCs w:val="22"/>
        </w:rPr>
      </w:pPr>
      <w:r w:rsidRPr="009A16AB">
        <w:rPr>
          <w:rFonts w:ascii="Calibri" w:hAnsi="Calibri"/>
          <w:b/>
          <w:bCs/>
          <w:iCs/>
          <w:sz w:val="22"/>
          <w:szCs w:val="22"/>
        </w:rPr>
        <w:t xml:space="preserve">For Physicians we are offering CME </w:t>
      </w:r>
    </w:p>
    <w:p w14:paraId="0A46642A" w14:textId="77777777" w:rsidR="009A16AB" w:rsidRPr="009A16AB" w:rsidRDefault="009A16AB" w:rsidP="009A16AB">
      <w:pPr>
        <w:rPr>
          <w:rFonts w:ascii="Calibri" w:hAnsi="Calibri"/>
          <w:sz w:val="22"/>
          <w:szCs w:val="22"/>
        </w:rPr>
      </w:pPr>
      <w:r w:rsidRPr="009A16AB">
        <w:rPr>
          <w:rFonts w:ascii="Calibri" w:hAnsi="Calibri"/>
          <w:iCs/>
          <w:sz w:val="22"/>
          <w:szCs w:val="22"/>
        </w:rPr>
        <w:t>Hawai‘i Pacific Health designates this live activity for a maximum of 1.0 AMA PRA Category 1 Credit (s</w:t>
      </w:r>
      <w:proofErr w:type="gramStart"/>
      <w:r w:rsidRPr="009A16AB">
        <w:rPr>
          <w:rFonts w:ascii="Calibri" w:hAnsi="Calibri"/>
          <w:iCs/>
          <w:sz w:val="22"/>
          <w:szCs w:val="22"/>
        </w:rPr>
        <w:t>)™</w:t>
      </w:r>
      <w:proofErr w:type="gramEnd"/>
      <w:r w:rsidRPr="009A16AB">
        <w:rPr>
          <w:rFonts w:ascii="Calibri" w:hAnsi="Calibri"/>
          <w:iCs/>
          <w:sz w:val="22"/>
          <w:szCs w:val="22"/>
        </w:rPr>
        <w:t>. Physicians should claim only credit commensurate with the extent of their participation in this activity.</w:t>
      </w:r>
    </w:p>
    <w:p w14:paraId="497D585A" w14:textId="77777777" w:rsidR="009A16AB" w:rsidRPr="009A16AB" w:rsidRDefault="009A16AB" w:rsidP="009A16AB">
      <w:pPr>
        <w:rPr>
          <w:rFonts w:ascii="Calibri" w:hAnsi="Calibri"/>
          <w:sz w:val="22"/>
          <w:szCs w:val="22"/>
        </w:rPr>
      </w:pPr>
      <w:r w:rsidRPr="009A16AB">
        <w:rPr>
          <w:rFonts w:ascii="Calibri" w:hAnsi="Calibri"/>
          <w:b/>
          <w:bCs/>
          <w:iCs/>
          <w:sz w:val="22"/>
          <w:szCs w:val="22"/>
        </w:rPr>
        <w:t>For Pharmacists we are offering CPE</w:t>
      </w:r>
      <w:r w:rsidRPr="009A16AB">
        <w:rPr>
          <w:rFonts w:ascii="Calibri" w:hAnsi="Calibri"/>
          <w:iCs/>
          <w:sz w:val="22"/>
          <w:szCs w:val="22"/>
        </w:rPr>
        <w:t> </w:t>
      </w:r>
    </w:p>
    <w:p w14:paraId="68B35E44" w14:textId="77777777" w:rsidR="009A16AB" w:rsidRPr="009A16AB" w:rsidRDefault="009A16AB" w:rsidP="009A16AB">
      <w:pPr>
        <w:rPr>
          <w:rFonts w:ascii="Calibri" w:hAnsi="Calibri"/>
          <w:sz w:val="22"/>
          <w:szCs w:val="22"/>
        </w:rPr>
      </w:pPr>
      <w:r w:rsidRPr="009A16AB">
        <w:rPr>
          <w:rFonts w:ascii="Calibri" w:hAnsi="Calibri"/>
          <w:iCs/>
          <w:sz w:val="22"/>
          <w:szCs w:val="22"/>
        </w:rPr>
        <w:t>Hawai‘i Pacific Health is accredited by the Accreditation Council for Pharmacy Education (ACPE) as a provider of continuing pharmacy education.  This activity is assigned Universal Activity Number (UAN) 0587-0000-17-003-L04-P and is accredited for 1 hour for attendance at the entire CE session.</w:t>
      </w:r>
    </w:p>
    <w:p w14:paraId="766010F2" w14:textId="77777777" w:rsidR="009A16AB" w:rsidRPr="009A16AB" w:rsidRDefault="009A16AB" w:rsidP="009A16AB"/>
    <w:p w14:paraId="075BBD27" w14:textId="77777777" w:rsidR="009A16AB" w:rsidRDefault="009A16AB" w:rsidP="00085548"/>
    <w:sectPr w:rsidR="009A16AB" w:rsidSect="00085548">
      <w:headerReference w:type="default" r:id="rId8"/>
      <w:footerReference w:type="default" r:id="rId9"/>
      <w:headerReference w:type="first" r:id="rId10"/>
      <w:footerReference w:type="first" r:id="rId11"/>
      <w:pgSz w:w="12240" w:h="15840"/>
      <w:pgMar w:top="1440" w:right="1440" w:bottom="1627"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69768C" w14:textId="77777777" w:rsidR="00C716DA" w:rsidRDefault="00C716DA" w:rsidP="00F02C17">
      <w:r>
        <w:separator/>
      </w:r>
    </w:p>
  </w:endnote>
  <w:endnote w:type="continuationSeparator" w:id="0">
    <w:p w14:paraId="73A13A01" w14:textId="77777777" w:rsidR="00C716DA" w:rsidRDefault="00C716DA" w:rsidP="00F02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Courier New"/>
    <w:charset w:val="00"/>
    <w:family w:val="auto"/>
    <w:pitch w:val="variable"/>
    <w:sig w:usb0="03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otham Medium">
    <w:altName w:val="Times New Roman"/>
    <w:charset w:val="00"/>
    <w:family w:val="auto"/>
    <w:pitch w:val="variable"/>
    <w:sig w:usb0="00000001" w:usb1="40000048"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FF35E" w14:textId="243879C6" w:rsidR="00A76CC4" w:rsidRPr="00085548" w:rsidRDefault="00A76CC4" w:rsidP="00CC1FF9">
    <w:pPr>
      <w:pStyle w:val="Footer"/>
      <w:tabs>
        <w:tab w:val="clear" w:pos="4320"/>
        <w:tab w:val="clear" w:pos="8640"/>
      </w:tabs>
      <w:ind w:left="-720"/>
      <w:rPr>
        <w:color w:val="808080" w:themeColor="background1" w:themeShade="80"/>
        <w:sz w:val="20"/>
        <w:szCs w:val="20"/>
      </w:rPr>
    </w:pPr>
    <w:r w:rsidRPr="00085548">
      <w:rPr>
        <w:rStyle w:val="PageNumber"/>
        <w:color w:val="808080" w:themeColor="background1" w:themeShade="80"/>
        <w:sz w:val="20"/>
        <w:szCs w:val="20"/>
      </w:rPr>
      <w:t xml:space="preserve">Page </w:t>
    </w:r>
    <w:r w:rsidRPr="00085548">
      <w:rPr>
        <w:rStyle w:val="PageNumber"/>
        <w:color w:val="808080" w:themeColor="background1" w:themeShade="80"/>
        <w:sz w:val="20"/>
        <w:szCs w:val="20"/>
      </w:rPr>
      <w:fldChar w:fldCharType="begin"/>
    </w:r>
    <w:r w:rsidRPr="00085548">
      <w:rPr>
        <w:rStyle w:val="PageNumber"/>
        <w:color w:val="808080" w:themeColor="background1" w:themeShade="80"/>
        <w:sz w:val="20"/>
        <w:szCs w:val="20"/>
      </w:rPr>
      <w:instrText xml:space="preserve"> PAGE </w:instrText>
    </w:r>
    <w:r w:rsidRPr="00085548">
      <w:rPr>
        <w:rStyle w:val="PageNumber"/>
        <w:color w:val="808080" w:themeColor="background1" w:themeShade="80"/>
        <w:sz w:val="20"/>
        <w:szCs w:val="20"/>
      </w:rPr>
      <w:fldChar w:fldCharType="separate"/>
    </w:r>
    <w:r w:rsidR="00AA6CD9">
      <w:rPr>
        <w:rStyle w:val="PageNumber"/>
        <w:noProof/>
        <w:color w:val="808080" w:themeColor="background1" w:themeShade="80"/>
        <w:sz w:val="20"/>
        <w:szCs w:val="20"/>
      </w:rPr>
      <w:t>2</w:t>
    </w:r>
    <w:r w:rsidRPr="00085548">
      <w:rPr>
        <w:rStyle w:val="PageNumber"/>
        <w:color w:val="808080" w:themeColor="background1" w:themeShade="80"/>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30B21" w14:textId="7DD11F14" w:rsidR="00071E5A" w:rsidRDefault="00071E5A">
    <w:pPr>
      <w:pStyle w:val="Footer"/>
    </w:pPr>
    <w:r>
      <w:rPr>
        <w:noProof/>
      </w:rPr>
      <mc:AlternateContent>
        <mc:Choice Requires="wps">
          <w:drawing>
            <wp:anchor distT="0" distB="0" distL="114300" distR="114300" simplePos="0" relativeHeight="251661312" behindDoc="0" locked="0" layoutInCell="1" allowOverlap="1" wp14:anchorId="5AA237AD" wp14:editId="668615C6">
              <wp:simplePos x="0" y="0"/>
              <wp:positionH relativeFrom="column">
                <wp:posOffset>-904875</wp:posOffset>
              </wp:positionH>
              <wp:positionV relativeFrom="paragraph">
                <wp:posOffset>-139065</wp:posOffset>
              </wp:positionV>
              <wp:extent cx="7772400" cy="981075"/>
              <wp:effectExtent l="57150" t="19050" r="57150" b="85725"/>
              <wp:wrapNone/>
              <wp:docPr id="4" name="Rectangle 4"/>
              <wp:cNvGraphicFramePr/>
              <a:graphic xmlns:a="http://schemas.openxmlformats.org/drawingml/2006/main">
                <a:graphicData uri="http://schemas.microsoft.com/office/word/2010/wordprocessingShape">
                  <wps:wsp>
                    <wps:cNvSpPr/>
                    <wps:spPr>
                      <a:xfrm>
                        <a:off x="0" y="0"/>
                        <a:ext cx="7772400" cy="981075"/>
                      </a:xfrm>
                      <a:prstGeom prst="rect">
                        <a:avLst/>
                      </a:prstGeom>
                      <a:solidFill>
                        <a:srgbClr val="852064"/>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9D6D5B" id="Rectangle 4" o:spid="_x0000_s1026" style="position:absolute;margin-left:-71.25pt;margin-top:-10.95pt;width:612pt;height:77.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" fillcolor="#852064" stroked="f">
              <v:shadow on="t" color="black" opacity="22937f" origin=",.5" offset="0,.63889mm"/>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6205BE" w14:textId="77777777" w:rsidR="00C716DA" w:rsidRDefault="00C716DA" w:rsidP="00F02C17">
      <w:r>
        <w:separator/>
      </w:r>
    </w:p>
  </w:footnote>
  <w:footnote w:type="continuationSeparator" w:id="0">
    <w:p w14:paraId="06C412C9" w14:textId="77777777" w:rsidR="00C716DA" w:rsidRDefault="00C716DA" w:rsidP="00F02C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EA3AD" w14:textId="682CF3BC" w:rsidR="00A76CC4" w:rsidRDefault="00A76CC4" w:rsidP="00F02C17">
    <w:pPr>
      <w:pStyle w:val="Header"/>
      <w:tabs>
        <w:tab w:val="clear" w:pos="4320"/>
        <w:tab w:val="clear" w:pos="86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4B7B9" w14:textId="76DA3618" w:rsidR="00A76CC4" w:rsidRDefault="00F2572E" w:rsidP="00F62C2F">
    <w:pPr>
      <w:pStyle w:val="Header"/>
      <w:tabs>
        <w:tab w:val="clear" w:pos="4320"/>
        <w:tab w:val="clear" w:pos="8640"/>
      </w:tabs>
    </w:pPr>
    <w:r>
      <w:rPr>
        <w:rFonts w:ascii="Arial" w:hAnsi="Arial" w:cs="Arial"/>
        <w:noProof/>
        <w:color w:val="7F7F7F"/>
      </w:rPr>
      <w:drawing>
        <wp:anchor distT="0" distB="0" distL="114300" distR="114300" simplePos="0" relativeHeight="251663360" behindDoc="0" locked="0" layoutInCell="1" allowOverlap="1" wp14:anchorId="2C5A217E" wp14:editId="4A86DCB7">
          <wp:simplePos x="0" y="0"/>
          <wp:positionH relativeFrom="margin">
            <wp:posOffset>-295275</wp:posOffset>
          </wp:positionH>
          <wp:positionV relativeFrom="page">
            <wp:posOffset>466725</wp:posOffset>
          </wp:positionV>
          <wp:extent cx="2689860" cy="771525"/>
          <wp:effectExtent l="0" t="0" r="0" b="9525"/>
          <wp:wrapSquare wrapText="bothSides"/>
          <wp:docPr id="1" name="Picture 1" descr="K:\BRAND_LOGOS_ ELEMENTS_ETC\Brand Work_FY16\Brand Logos_Final\Pali Momi\HPHPaliMomi_Tag-2016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BRAND_LOGOS_ ELEMENTS_ETC\Brand Work_FY16\Brand Logos_Final\Pali Momi\HPHPaliMomi_Tag-2016_Color.jpg"/>
                  <pic:cNvPicPr>
                    <a:picLocks noChangeAspect="1" noChangeArrowheads="1"/>
                  </pic:cNvPicPr>
                </pic:nvPicPr>
                <pic:blipFill>
                  <a:blip r:embed="rId1">
                    <a:extLst>
                      <a:ext uri="{28A0092B-C50C-407E-A947-70E740481C1C}">
                        <a14:useLocalDpi xmlns:a14="http://schemas.microsoft.com/office/drawing/2010/main" val="0"/>
                      </a:ext>
                    </a:extLst>
                  </a:blip>
                  <a:srcRect l="8449" t="19365" r="9837" b="21965"/>
                  <a:stretch>
                    <a:fillRect/>
                  </a:stretch>
                </pic:blipFill>
                <pic:spPr bwMode="auto">
                  <a:xfrm>
                    <a:off x="0" y="0"/>
                    <a:ext cx="2689860" cy="771525"/>
                  </a:xfrm>
                  <a:prstGeom prst="rect">
                    <a:avLst/>
                  </a:prstGeom>
                  <a:noFill/>
                  <a:ln>
                    <a:noFill/>
                  </a:ln>
                </pic:spPr>
              </pic:pic>
            </a:graphicData>
          </a:graphic>
        </wp:anchor>
      </w:drawing>
    </w:r>
  </w:p>
  <w:p w14:paraId="05C90ECD" w14:textId="77777777" w:rsidR="00A76CC4" w:rsidRDefault="00A76CC4" w:rsidP="00085548">
    <w:pPr>
      <w:pStyle w:val="Header"/>
      <w:tabs>
        <w:tab w:val="clear" w:pos="4320"/>
        <w:tab w:val="clear" w:pos="8640"/>
      </w:tabs>
    </w:pPr>
  </w:p>
  <w:p w14:paraId="0D4972BE" w14:textId="78DFA86B" w:rsidR="00A76CC4" w:rsidRPr="005E5FA0" w:rsidRDefault="00F2572E" w:rsidP="001C52ED">
    <w:pPr>
      <w:pStyle w:val="Header"/>
      <w:tabs>
        <w:tab w:val="clear" w:pos="4320"/>
        <w:tab w:val="clear" w:pos="8640"/>
      </w:tabs>
      <w:jc w:val="right"/>
      <w:rPr>
        <w:sz w:val="30"/>
        <w:szCs w:val="30"/>
      </w:rPr>
    </w:pPr>
    <w:r>
      <w:rPr>
        <w:rFonts w:ascii="Gotham Medium" w:hAnsi="Gotham Medium"/>
        <w:noProof/>
        <w:color w:val="77777B"/>
        <w:spacing w:val="10"/>
        <w:sz w:val="30"/>
        <w:szCs w:val="30"/>
      </w:rPr>
      <w:t>PaliMomi</w:t>
    </w:r>
    <w:r w:rsidR="004A4ABA" w:rsidRPr="005E5FA0">
      <w:rPr>
        <w:rFonts w:ascii="Gotham Medium" w:hAnsi="Gotham Medium"/>
        <w:noProof/>
        <w:color w:val="77777B"/>
        <w:spacing w:val="10"/>
        <w:sz w:val="30"/>
        <w:szCs w:val="30"/>
      </w:rPr>
      <w:t>.org</w:t>
    </w:r>
  </w:p>
  <w:p w14:paraId="55C39334" w14:textId="77777777" w:rsidR="00A76CC4" w:rsidRDefault="00A76CC4" w:rsidP="00085548">
    <w:pPr>
      <w:pStyle w:val="Header"/>
      <w:tabs>
        <w:tab w:val="clear" w:pos="4320"/>
        <w:tab w:val="clear" w:pos="8640"/>
      </w:tabs>
    </w:pPr>
  </w:p>
  <w:p w14:paraId="1C7EA660" w14:textId="1DE82B8B" w:rsidR="00A76CC4" w:rsidRDefault="00A76CC4" w:rsidP="00085548">
    <w:pPr>
      <w:pStyle w:val="Header"/>
      <w:tabs>
        <w:tab w:val="clear" w:pos="4320"/>
        <w:tab w:val="clear" w:pos="8640"/>
      </w:tabs>
    </w:pPr>
  </w:p>
  <w:p w14:paraId="4B1C9A49" w14:textId="77777777" w:rsidR="00A76CC4" w:rsidRPr="00085548" w:rsidRDefault="00A76CC4" w:rsidP="000855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C17"/>
    <w:rsid w:val="00071E5A"/>
    <w:rsid w:val="00085548"/>
    <w:rsid w:val="000D50EB"/>
    <w:rsid w:val="000E139D"/>
    <w:rsid w:val="000E19C4"/>
    <w:rsid w:val="001C52ED"/>
    <w:rsid w:val="00247F4A"/>
    <w:rsid w:val="002839AA"/>
    <w:rsid w:val="00296CDA"/>
    <w:rsid w:val="00393B27"/>
    <w:rsid w:val="00452CDF"/>
    <w:rsid w:val="00453759"/>
    <w:rsid w:val="004A4ABA"/>
    <w:rsid w:val="00503989"/>
    <w:rsid w:val="005A1C3F"/>
    <w:rsid w:val="005E5FA0"/>
    <w:rsid w:val="00611C59"/>
    <w:rsid w:val="007146FF"/>
    <w:rsid w:val="00746CC0"/>
    <w:rsid w:val="008611AE"/>
    <w:rsid w:val="008A7B14"/>
    <w:rsid w:val="009756DE"/>
    <w:rsid w:val="009A16AB"/>
    <w:rsid w:val="009E31C1"/>
    <w:rsid w:val="009E7E46"/>
    <w:rsid w:val="00A76CC4"/>
    <w:rsid w:val="00AA6CD9"/>
    <w:rsid w:val="00AC5158"/>
    <w:rsid w:val="00C716DA"/>
    <w:rsid w:val="00CC1FF9"/>
    <w:rsid w:val="00D51407"/>
    <w:rsid w:val="00D61386"/>
    <w:rsid w:val="00E32E54"/>
    <w:rsid w:val="00E76E54"/>
    <w:rsid w:val="00F01D25"/>
    <w:rsid w:val="00F02C17"/>
    <w:rsid w:val="00F04E95"/>
    <w:rsid w:val="00F2572E"/>
    <w:rsid w:val="00F62C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39D85082"/>
  <w14:defaultImageDpi w14:val="300"/>
  <w15:docId w15:val="{98B04249-AE74-442C-9BF7-86E0ED209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D25"/>
  </w:style>
  <w:style w:type="paragraph" w:styleId="Heading1">
    <w:name w:val="heading 1"/>
    <w:basedOn w:val="Normal"/>
    <w:next w:val="Normal"/>
    <w:link w:val="Heading1Char"/>
    <w:qFormat/>
    <w:rsid w:val="009E31C1"/>
    <w:pPr>
      <w:keepNext/>
      <w:jc w:val="center"/>
      <w:outlineLvl w:val="0"/>
    </w:pPr>
    <w:rPr>
      <w:rFonts w:ascii="Arial" w:eastAsia="Times" w:hAnsi="Arial" w:cs="Times New Roman"/>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02C17"/>
    <w:pPr>
      <w:tabs>
        <w:tab w:val="center" w:pos="4320"/>
        <w:tab w:val="right" w:pos="8640"/>
      </w:tabs>
    </w:pPr>
  </w:style>
  <w:style w:type="character" w:customStyle="1" w:styleId="HeaderChar">
    <w:name w:val="Header Char"/>
    <w:basedOn w:val="DefaultParagraphFont"/>
    <w:link w:val="Header"/>
    <w:rsid w:val="00F02C17"/>
  </w:style>
  <w:style w:type="paragraph" w:styleId="Footer">
    <w:name w:val="footer"/>
    <w:basedOn w:val="Normal"/>
    <w:link w:val="FooterChar"/>
    <w:uiPriority w:val="99"/>
    <w:unhideWhenUsed/>
    <w:rsid w:val="00F02C17"/>
    <w:pPr>
      <w:tabs>
        <w:tab w:val="center" w:pos="4320"/>
        <w:tab w:val="right" w:pos="8640"/>
      </w:tabs>
    </w:pPr>
  </w:style>
  <w:style w:type="character" w:customStyle="1" w:styleId="FooterChar">
    <w:name w:val="Footer Char"/>
    <w:basedOn w:val="DefaultParagraphFont"/>
    <w:link w:val="Footer"/>
    <w:uiPriority w:val="99"/>
    <w:rsid w:val="00F02C17"/>
  </w:style>
  <w:style w:type="paragraph" w:styleId="BalloonText">
    <w:name w:val="Balloon Text"/>
    <w:basedOn w:val="Normal"/>
    <w:link w:val="BalloonTextChar"/>
    <w:uiPriority w:val="99"/>
    <w:semiHidden/>
    <w:unhideWhenUsed/>
    <w:rsid w:val="00F02C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2C17"/>
    <w:rPr>
      <w:rFonts w:ascii="Lucida Grande" w:hAnsi="Lucida Grande" w:cs="Lucida Grande"/>
      <w:sz w:val="18"/>
      <w:szCs w:val="18"/>
    </w:rPr>
  </w:style>
  <w:style w:type="character" w:styleId="PageNumber">
    <w:name w:val="page number"/>
    <w:basedOn w:val="DefaultParagraphFont"/>
    <w:uiPriority w:val="99"/>
    <w:semiHidden/>
    <w:unhideWhenUsed/>
    <w:rsid w:val="00085548"/>
  </w:style>
  <w:style w:type="character" w:customStyle="1" w:styleId="Heading1Char">
    <w:name w:val="Heading 1 Char"/>
    <w:basedOn w:val="DefaultParagraphFont"/>
    <w:link w:val="Heading1"/>
    <w:rsid w:val="009E31C1"/>
    <w:rPr>
      <w:rFonts w:ascii="Arial" w:eastAsia="Times" w:hAnsi="Arial"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600774">
      <w:bodyDiv w:val="1"/>
      <w:marLeft w:val="0"/>
      <w:marRight w:val="0"/>
      <w:marTop w:val="0"/>
      <w:marBottom w:val="0"/>
      <w:divBdr>
        <w:top w:val="none" w:sz="0" w:space="0" w:color="auto"/>
        <w:left w:val="none" w:sz="0" w:space="0" w:color="auto"/>
        <w:bottom w:val="none" w:sz="0" w:space="0" w:color="auto"/>
        <w:right w:val="none" w:sz="0" w:space="0" w:color="auto"/>
      </w:divBdr>
    </w:div>
    <w:div w:id="18379202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hph-arial-theme">
  <a:themeElements>
    <a:clrScheme name="HPH 1">
      <a:dk1>
        <a:srgbClr val="78787B"/>
      </a:dk1>
      <a:lt1>
        <a:sysClr val="window" lastClr="FFFFFF"/>
      </a:lt1>
      <a:dk2>
        <a:srgbClr val="404040"/>
      </a:dk2>
      <a:lt2>
        <a:srgbClr val="F4F2EC"/>
      </a:lt2>
      <a:accent1>
        <a:srgbClr val="0091BA"/>
      </a:accent1>
      <a:accent2>
        <a:srgbClr val="F58220"/>
      </a:accent2>
      <a:accent3>
        <a:srgbClr val="62A945"/>
      </a:accent3>
      <a:accent4>
        <a:srgbClr val="862065"/>
      </a:accent4>
      <a:accent5>
        <a:srgbClr val="0071B9"/>
      </a:accent5>
      <a:accent6>
        <a:srgbClr val="78787B"/>
      </a:accent6>
      <a:hlink>
        <a:srgbClr val="0091BA"/>
      </a:hlink>
      <a:folHlink>
        <a:srgbClr val="78787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15DCD-F0C6-4751-98F7-5B40ED366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Anthology Marketing Group</Company>
  <LinksUpToDate>false</LinksUpToDate>
  <CharactersWithSpaces>1315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Lum</dc:creator>
  <cp:keywords/>
  <dc:description/>
  <cp:lastModifiedBy>Reed, Laura (Abby)</cp:lastModifiedBy>
  <cp:revision>3</cp:revision>
  <cp:lastPrinted>2016-06-21T20:25:00Z</cp:lastPrinted>
  <dcterms:created xsi:type="dcterms:W3CDTF">2017-12-08T20:00:00Z</dcterms:created>
  <dcterms:modified xsi:type="dcterms:W3CDTF">2017-12-08T20:01:00Z</dcterms:modified>
</cp:coreProperties>
</file>